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46D75D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D7887" w:rsidRPr="00BD7887">
        <w:rPr>
          <w:rFonts w:ascii="Arial" w:eastAsia="MS Mincho" w:hAnsi="Arial" w:cs="Arial"/>
          <w:b/>
          <w:sz w:val="24"/>
          <w:szCs w:val="24"/>
          <w:lang w:eastAsia="ja-JP"/>
        </w:rPr>
        <w:t>S1-254229</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338A4241"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784139">
        <w:rPr>
          <w:rFonts w:ascii="Arial" w:hAnsi="Arial" w:cs="Arial"/>
          <w:b/>
          <w:bCs/>
        </w:rPr>
        <w:t>Discussion Paper: Machine Unlearning</w:t>
      </w:r>
    </w:p>
    <w:p w14:paraId="0BC8E829" w14:textId="5350C213" w:rsidR="0009108F" w:rsidRPr="00C524DD" w:rsidRDefault="0009108F" w:rsidP="0009108F">
      <w:pPr>
        <w:spacing w:after="120"/>
        <w:ind w:left="1985" w:hanging="1985"/>
        <w:rPr>
          <w:rFonts w:ascii="Arial" w:hAnsi="Arial" w:cs="Arial"/>
          <w:b/>
          <w:bCs/>
        </w:rPr>
      </w:pPr>
      <w:r w:rsidRPr="00784139">
        <w:rPr>
          <w:rFonts w:ascii="Arial" w:hAnsi="Arial" w:cs="Arial"/>
          <w:b/>
          <w:bCs/>
        </w:rPr>
        <w:t>Agenda item:</w:t>
      </w:r>
      <w:r w:rsidRPr="00784139">
        <w:rPr>
          <w:rFonts w:ascii="Arial" w:hAnsi="Arial" w:cs="Arial"/>
          <w:b/>
          <w:bCs/>
        </w:rPr>
        <w:tab/>
      </w:r>
      <w:r w:rsidR="009600A9" w:rsidRPr="00784139">
        <w:rPr>
          <w:rFonts w:ascii="Arial" w:hAnsi="Arial" w:cs="Arial"/>
          <w:b/>
          <w:bCs/>
        </w:rPr>
        <w:t>8.1.3</w:t>
      </w:r>
      <w:r w:rsidR="00BD788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200D2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80EE4">
        <w:rPr>
          <w:rFonts w:ascii="Arial" w:eastAsia="Malgun Gothic" w:hAnsi="Arial" w:cs="Arial"/>
          <w:i/>
          <w:color w:val="000000"/>
          <w:lang w:eastAsia="ja-JP"/>
        </w:rPr>
        <w:t xml:space="preserve">Given that future networks are expected to provide support for machine learning, this document motivates the need for providing the support for machine </w:t>
      </w:r>
      <w:r w:rsidR="00480EE4" w:rsidRPr="00480EE4">
        <w:rPr>
          <w:rFonts w:ascii="Arial" w:eastAsia="Malgun Gothic" w:hAnsi="Arial" w:cs="Arial"/>
          <w:i/>
          <w:color w:val="000000"/>
          <w:lang w:eastAsia="ja-JP"/>
        </w:rPr>
        <w:t>un</w:t>
      </w:r>
      <w:r w:rsidR="00480EE4">
        <w:rPr>
          <w:rFonts w:ascii="Arial" w:eastAsia="Malgun Gothic" w:hAnsi="Arial" w:cs="Arial"/>
          <w:i/>
          <w:color w:val="000000"/>
          <w:lang w:eastAsia="ja-JP"/>
        </w:rPr>
        <w:t>learning as well</w:t>
      </w:r>
      <w:r w:rsidR="00480EE4" w:rsidRPr="00D15B53">
        <w:rPr>
          <w:rFonts w:ascii="Arial" w:eastAsia="Malgun Gothic" w:hAnsi="Arial" w:cs="Arial"/>
          <w:i/>
          <w:color w:val="000000"/>
          <w:lang w:eastAsia="ja-JP"/>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2413D3" w14:textId="77777777" w:rsidR="00480EE4" w:rsidRDefault="00480EE4" w:rsidP="00480EE4">
      <w:pPr>
        <w:rPr>
          <w:lang w:eastAsia="zh-CN"/>
        </w:rPr>
      </w:pPr>
      <w:r w:rsidRPr="00833232">
        <w:rPr>
          <w:lang w:eastAsia="zh-CN"/>
        </w:rPr>
        <w:t>TR 22.870 includes use cases and potential requirements that support operators in offering services to third-party customers for training AI/ML models within 6G networks</w:t>
      </w:r>
      <w:r>
        <w:rPr>
          <w:lang w:eastAsia="zh-CN"/>
        </w:rPr>
        <w:t xml:space="preserve"> (i.e. SHE)</w:t>
      </w:r>
      <w:r w:rsidRPr="00833232">
        <w:rPr>
          <w:lang w:eastAsia="zh-CN"/>
        </w:rPr>
        <w:t xml:space="preserve">. </w:t>
      </w:r>
      <w:r>
        <w:rPr>
          <w:lang w:eastAsia="zh-CN"/>
        </w:rPr>
        <w:t xml:space="preserve">An element common to most </w:t>
      </w:r>
      <w:r w:rsidRPr="00833232">
        <w:rPr>
          <w:lang w:eastAsia="zh-CN"/>
        </w:rPr>
        <w:t>scenarios</w:t>
      </w:r>
      <w:r>
        <w:rPr>
          <w:lang w:eastAsia="zh-CN"/>
        </w:rPr>
        <w:t xml:space="preserve"> is that </w:t>
      </w:r>
      <w:r w:rsidRPr="00833232">
        <w:rPr>
          <w:lang w:eastAsia="zh-CN"/>
        </w:rPr>
        <w:t>one third party supplies data to the network, while another third party consumes that data through mechanisms developed by the network. For example, the network may train a machine learning model using data provided by the first third party, and then enable the second third party to perform inference using the trained model.</w:t>
      </w:r>
    </w:p>
    <w:p w14:paraId="4A196AF5" w14:textId="77777777" w:rsidR="00480EE4" w:rsidRPr="008A5E86" w:rsidRDefault="00480EE4" w:rsidP="00480EE4">
      <w:pPr>
        <w:rPr>
          <w:noProof/>
          <w:lang w:val="en-US"/>
        </w:rPr>
      </w:pPr>
      <w:r>
        <w:rPr>
          <w:lang w:eastAsia="zh-CN"/>
        </w:rPr>
        <w:t>Aside from providing background information on technical feasibility of machine unlearning, t</w:t>
      </w:r>
      <w:r w:rsidRPr="00833232">
        <w:rPr>
          <w:lang w:eastAsia="zh-CN"/>
        </w:rPr>
        <w:t xml:space="preserve">his discussion paper aims </w:t>
      </w:r>
      <w:r>
        <w:rPr>
          <w:lang w:eastAsia="zh-CN"/>
        </w:rPr>
        <w:t>at</w:t>
      </w:r>
      <w:r w:rsidRPr="00833232">
        <w:rPr>
          <w:lang w:eastAsia="zh-CN"/>
        </w:rPr>
        <w:t xml:space="preserve"> </w:t>
      </w:r>
      <w:r>
        <w:rPr>
          <w:lang w:eastAsia="zh-CN"/>
        </w:rPr>
        <w:t>defining</w:t>
      </w:r>
      <w:r w:rsidRPr="00833232">
        <w:rPr>
          <w:lang w:eastAsia="zh-CN"/>
        </w:rPr>
        <w:t xml:space="preserve"> the network’s responsibilities regarding </w:t>
      </w:r>
      <w:r>
        <w:rPr>
          <w:lang w:eastAsia="zh-CN"/>
        </w:rPr>
        <w:t xml:space="preserve">the </w:t>
      </w:r>
      <w:r w:rsidRPr="00833232">
        <w:rPr>
          <w:lang w:eastAsia="zh-CN"/>
        </w:rPr>
        <w:t>data provided by third parties</w:t>
      </w:r>
      <w:r>
        <w:rPr>
          <w:lang w:eastAsia="zh-CN"/>
        </w:rPr>
        <w:t xml:space="preserve"> for use/as enabler for 6G services, and secondly </w:t>
      </w:r>
      <w:r w:rsidRPr="00833232">
        <w:rPr>
          <w:lang w:eastAsia="zh-CN"/>
        </w:rPr>
        <w:t>advocat</w:t>
      </w:r>
      <w:r>
        <w:rPr>
          <w:lang w:eastAsia="zh-CN"/>
        </w:rPr>
        <w:t>ing</w:t>
      </w:r>
      <w:r w:rsidRPr="00833232">
        <w:rPr>
          <w:lang w:eastAsia="zh-CN"/>
        </w:rPr>
        <w:t xml:space="preserve"> for </w:t>
      </w:r>
      <w:r>
        <w:rPr>
          <w:lang w:eastAsia="zh-CN"/>
        </w:rPr>
        <w:t xml:space="preserve">providing </w:t>
      </w:r>
      <w:r w:rsidRPr="00833232">
        <w:rPr>
          <w:lang w:eastAsia="zh-CN"/>
        </w:rPr>
        <w:t>machine unlearning</w:t>
      </w:r>
      <w:r>
        <w:rPr>
          <w:lang w:eastAsia="zh-CN"/>
        </w:rPr>
        <w:t xml:space="preserve"> (along with e.g. 6G Compute Service)</w:t>
      </w:r>
      <w:r w:rsidRPr="00833232">
        <w:rPr>
          <w:lang w:eastAsia="zh-CN"/>
        </w:rPr>
        <w:t xml:space="preserve"> to reverse the influence of specific third-party data when necessary.</w:t>
      </w:r>
    </w:p>
    <w:p w14:paraId="6BC49DFD" w14:textId="6D07BC17" w:rsidR="0009108F" w:rsidRDefault="0009108F" w:rsidP="0009108F">
      <w:pPr>
        <w:pStyle w:val="CRCoverPage"/>
        <w:rPr>
          <w:b/>
          <w:noProof/>
          <w:lang w:val="en-US"/>
        </w:rPr>
      </w:pPr>
      <w:r w:rsidRPr="008A5E86">
        <w:rPr>
          <w:b/>
          <w:noProof/>
          <w:lang w:val="en-US"/>
        </w:rPr>
        <w:t xml:space="preserve">2. </w:t>
      </w:r>
      <w:r w:rsidR="00480EE4">
        <w:rPr>
          <w:b/>
          <w:noProof/>
          <w:lang w:val="en-US"/>
        </w:rPr>
        <w:t>Discussion</w:t>
      </w:r>
    </w:p>
    <w:p w14:paraId="5FCD2E3E" w14:textId="1BCDE6CB" w:rsidR="00480EE4" w:rsidRPr="000B1EE5" w:rsidRDefault="00480EE4" w:rsidP="0009108F">
      <w:pPr>
        <w:pStyle w:val="CRCoverPage"/>
        <w:rPr>
          <w:b/>
          <w:noProof/>
        </w:rPr>
      </w:pPr>
      <w:r w:rsidRPr="000B1EE5">
        <w:rPr>
          <w:b/>
          <w:noProof/>
        </w:rPr>
        <w:t>2.1 What is Machine Unlearning?</w:t>
      </w:r>
    </w:p>
    <w:p w14:paraId="451BB876" w14:textId="4DA5423C" w:rsidR="00480EE4" w:rsidRPr="000B1EE5" w:rsidRDefault="000B1EE5" w:rsidP="000B1EE5">
      <w:pPr>
        <w:rPr>
          <w:lang w:eastAsia="zh-CN"/>
        </w:rPr>
      </w:pPr>
      <w:r>
        <w:rPr>
          <w:lang w:eastAsia="zh-CN"/>
        </w:rPr>
        <w:t>Machine unlearning (MU) is the process of selectively removing specific data or knowledge from a trained machine learning (ML) model, as if it had never been learned. In other words, MU is teaching a model to “forget” something. The baseline for MU is retraining the ML model from scratch, on a dataset that excludes the removed data. However, retraining may incur an enormous computational cost. MU offers a compute-efficient alternative to retraining from scratch.</w:t>
      </w:r>
    </w:p>
    <w:p w14:paraId="7F3BAF39" w14:textId="6BEBC89B" w:rsidR="00480EE4" w:rsidRDefault="00480EE4" w:rsidP="0009108F">
      <w:pPr>
        <w:pStyle w:val="CRCoverPage"/>
        <w:rPr>
          <w:b/>
          <w:noProof/>
          <w:lang w:val="en-US"/>
        </w:rPr>
      </w:pPr>
      <w:r>
        <w:rPr>
          <w:b/>
          <w:noProof/>
          <w:lang w:val="en-US"/>
        </w:rPr>
        <w:t>2.2 Why Machine Unlearning?</w:t>
      </w:r>
    </w:p>
    <w:p w14:paraId="22DBDF35" w14:textId="77777777" w:rsidR="000B1EE5" w:rsidRDefault="000B1EE5" w:rsidP="000B1EE5">
      <w:r>
        <w:t>The need of MU is most apparent in scenarios where data is shared across multiple parties. Assume two parties, party A and B, where party A is a data provider, and party B is a consumer of party A’s data. The following sequence of arguments establish the responsibilities party B has towards party A regarding party A’s data, and it provides a basis for the use of MU.</w:t>
      </w:r>
    </w:p>
    <w:p w14:paraId="680EC6BF" w14:textId="77777777" w:rsidR="000B1EE5" w:rsidRDefault="000B1EE5" w:rsidP="000B1EE5">
      <w:r w:rsidRPr="00F63F02">
        <w:rPr>
          <w:b/>
          <w:bCs/>
        </w:rPr>
        <w:t xml:space="preserve">Q1: Should party A be able to ask to remove its data from </w:t>
      </w:r>
      <w:r>
        <w:rPr>
          <w:b/>
          <w:bCs/>
        </w:rPr>
        <w:t>party B</w:t>
      </w:r>
      <w:r w:rsidRPr="00F63F02">
        <w:rPr>
          <w:b/>
          <w:bCs/>
        </w:rPr>
        <w:t>?</w:t>
      </w:r>
      <w:r>
        <w:t xml:space="preserve"> Yes, per the “right to be forgotten” in Europe’s GDPR [1] and Canada’s PIPEDA [2], even in cases where party A provided the data with consent.</w:t>
      </w:r>
    </w:p>
    <w:p w14:paraId="19EB8D11" w14:textId="77777777" w:rsidR="000B1EE5" w:rsidRDefault="000B1EE5" w:rsidP="000B1EE5">
      <w:r w:rsidRPr="00432854">
        <w:rPr>
          <w:b/>
          <w:bCs/>
        </w:rPr>
        <w:t xml:space="preserve">Q2: </w:t>
      </w:r>
      <w:r>
        <w:rPr>
          <w:b/>
          <w:bCs/>
        </w:rPr>
        <w:t xml:space="preserve">Should party B remove </w:t>
      </w:r>
      <w:r w:rsidRPr="00572736">
        <w:rPr>
          <w:b/>
          <w:bCs/>
        </w:rPr>
        <w:t xml:space="preserve">any artefacts dependent on the </w:t>
      </w:r>
      <w:r>
        <w:rPr>
          <w:b/>
          <w:bCs/>
        </w:rPr>
        <w:t xml:space="preserve">party A’s </w:t>
      </w:r>
      <w:r w:rsidRPr="00572736">
        <w:rPr>
          <w:b/>
          <w:bCs/>
        </w:rPr>
        <w:t>removed data</w:t>
      </w:r>
      <w:r w:rsidRPr="00432854">
        <w:rPr>
          <w:b/>
          <w:bCs/>
        </w:rPr>
        <w:t>?</w:t>
      </w:r>
      <w:r>
        <w:t xml:space="preserve"> The answer to this question is two-fold, and they are dependent on both the interpretation of the existing laws as well as the level of collaboration between the two parties.</w:t>
      </w:r>
    </w:p>
    <w:p w14:paraId="7C8F8C6E" w14:textId="77777777" w:rsidR="000B1EE5" w:rsidRDefault="000B1EE5" w:rsidP="000B1EE5">
      <w:r w:rsidRPr="00A3420D">
        <w:rPr>
          <w:b/>
          <w:bCs/>
        </w:rPr>
        <w:t>A</w:t>
      </w:r>
      <w:r>
        <w:rPr>
          <w:b/>
          <w:bCs/>
        </w:rPr>
        <w:t xml:space="preserve">nswer </w:t>
      </w:r>
      <w:r w:rsidRPr="00A3420D">
        <w:rPr>
          <w:b/>
          <w:bCs/>
        </w:rPr>
        <w:t>1</w:t>
      </w:r>
      <w:r>
        <w:rPr>
          <w:b/>
          <w:bCs/>
        </w:rPr>
        <w:t xml:space="preserve"> (from data privacy perspective)</w:t>
      </w:r>
      <w:r w:rsidRPr="00A3420D">
        <w:rPr>
          <w:b/>
          <w:bCs/>
        </w:rPr>
        <w:t xml:space="preserve">: </w:t>
      </w:r>
      <w:r w:rsidRPr="00B220E3">
        <w:t>If a</w:t>
      </w:r>
      <w:r>
        <w:t>n</w:t>
      </w:r>
      <w:r w:rsidRPr="00B220E3">
        <w:t xml:space="preserve"> </w:t>
      </w:r>
      <w:r>
        <w:t xml:space="preserve">artefact such as a trained AI model leaks party A’s </w:t>
      </w:r>
      <w:r w:rsidRPr="00B220E3">
        <w:t>data (</w:t>
      </w:r>
      <w:r>
        <w:t>e.g., being able to fully or partially reconstruct data</w:t>
      </w:r>
      <w:r w:rsidRPr="00B220E3">
        <w:t>), it may still be subject to privacy laws like Europe’s GDPR</w:t>
      </w:r>
      <w:r>
        <w:t xml:space="preserve"> or </w:t>
      </w:r>
      <w:r w:rsidRPr="00B220E3">
        <w:t xml:space="preserve">Canada’s PIPEDA. In that case, </w:t>
      </w:r>
      <w:r>
        <w:t xml:space="preserve">party B </w:t>
      </w:r>
      <w:r w:rsidRPr="00B220E3">
        <w:t xml:space="preserve">must take actions to prevent </w:t>
      </w:r>
      <w:r>
        <w:t xml:space="preserve">the </w:t>
      </w:r>
      <w:r w:rsidRPr="00B220E3">
        <w:t xml:space="preserve">leakage of </w:t>
      </w:r>
      <w:r>
        <w:t>removed</w:t>
      </w:r>
      <w:r w:rsidRPr="00B220E3">
        <w:t xml:space="preserve"> data.</w:t>
      </w:r>
    </w:p>
    <w:p w14:paraId="2A0B4E33" w14:textId="77777777" w:rsidR="000B1EE5" w:rsidRDefault="000B1EE5" w:rsidP="000B1EE5">
      <w:pPr>
        <w:ind w:left="360"/>
      </w:pPr>
      <w:r w:rsidRPr="00F63F02">
        <w:rPr>
          <w:b/>
          <w:bCs/>
        </w:rPr>
        <w:t>Q</w:t>
      </w:r>
      <w:r>
        <w:rPr>
          <w:b/>
          <w:bCs/>
        </w:rPr>
        <w:t>2.1</w:t>
      </w:r>
      <w:r w:rsidRPr="00F63F02">
        <w:rPr>
          <w:b/>
          <w:bCs/>
        </w:rPr>
        <w:t xml:space="preserve">: </w:t>
      </w:r>
      <w:r>
        <w:rPr>
          <w:b/>
          <w:bCs/>
        </w:rPr>
        <w:t xml:space="preserve">How can party B prevent leaking party A’s data through </w:t>
      </w:r>
      <w:r w:rsidRPr="00572736">
        <w:rPr>
          <w:b/>
          <w:bCs/>
        </w:rPr>
        <w:t xml:space="preserve">artefacts dependent on the </w:t>
      </w:r>
      <w:r>
        <w:rPr>
          <w:b/>
          <w:bCs/>
        </w:rPr>
        <w:t>party A’s data</w:t>
      </w:r>
      <w:r w:rsidRPr="00F63F02">
        <w:rPr>
          <w:b/>
          <w:bCs/>
        </w:rPr>
        <w:t>?</w:t>
      </w:r>
      <w:r>
        <w:t xml:space="preserve"> There exist a couple of </w:t>
      </w:r>
      <w:r w:rsidRPr="00A3420D">
        <w:rPr>
          <w:i/>
          <w:iCs/>
        </w:rPr>
        <w:t>preventive</w:t>
      </w:r>
      <w:r>
        <w:t xml:space="preserve"> methods.</w:t>
      </w:r>
    </w:p>
    <w:p w14:paraId="0EC3C648" w14:textId="77777777" w:rsidR="000B1EE5" w:rsidRDefault="000B1EE5" w:rsidP="000B1EE5">
      <w:pPr>
        <w:ind w:left="360"/>
      </w:pPr>
      <w:r w:rsidRPr="00D8501C">
        <w:rPr>
          <w:b/>
          <w:bCs/>
        </w:rPr>
        <w:t>Data anonymization</w:t>
      </w:r>
      <w:r>
        <w:t>: The idea is to remove from the data the information that i</w:t>
      </w:r>
      <w:r w:rsidRPr="00713927">
        <w:t>dentifi</w:t>
      </w:r>
      <w:r>
        <w:t>es party A (e.g., masking or a</w:t>
      </w:r>
      <w:r w:rsidRPr="00A3420D">
        <w:t>ggregatin</w:t>
      </w:r>
      <w:r>
        <w:t>g data). Anonymization does not guarantee data leak prevention, as there exist proven methods of de-anonymization (e.g., correlating anonymized data inferred from models against publicly available data of the same party).</w:t>
      </w:r>
    </w:p>
    <w:p w14:paraId="079A8423" w14:textId="77777777" w:rsidR="000B1EE5" w:rsidRDefault="000B1EE5" w:rsidP="000B1EE5">
      <w:pPr>
        <w:ind w:left="284"/>
      </w:pPr>
      <w:r>
        <w:lastRenderedPageBreak/>
        <w:t>Note that while these methods in principle prevent the data privacy leakage (to some extent), they do not enable a 3</w:t>
      </w:r>
      <w:r>
        <w:rPr>
          <w:vertAlign w:val="superscript"/>
        </w:rPr>
        <w:t>rd</w:t>
      </w:r>
      <w:r>
        <w:t xml:space="preserve"> party to exit a data sharing agreement and reclaim its data.</w:t>
      </w:r>
    </w:p>
    <w:p w14:paraId="4DCBED3C" w14:textId="77777777" w:rsidR="000B1EE5" w:rsidRDefault="000B1EE5" w:rsidP="000B1EE5">
      <w:r>
        <w:rPr>
          <w:b/>
          <w:bCs/>
        </w:rPr>
        <w:t xml:space="preserve">Answer 2 (from data ownership perspective): </w:t>
      </w:r>
      <w:r>
        <w:t>Both the data providing and collecting parties are served well by fostering an environment where the participants are free to join or exit the arrangement. E.g., 10 parties jointly train an AI model using their combined data. Later, one party wants to withdraw and undo its contributions to the trained model. Allowing the participants to flexibly exit without compromising their data promotes openness, collaboration, trust, and transparency.</w:t>
      </w:r>
    </w:p>
    <w:p w14:paraId="2358EB51" w14:textId="77777777" w:rsidR="000B1EE5" w:rsidRDefault="000B1EE5" w:rsidP="000B1EE5">
      <w:pPr>
        <w:ind w:left="450"/>
      </w:pPr>
      <w:r>
        <w:rPr>
          <w:b/>
          <w:bCs/>
        </w:rPr>
        <w:t>Q2.2: How can party B remove any artefacts dependent on party A’s data?</w:t>
      </w:r>
    </w:p>
    <w:p w14:paraId="25485812" w14:textId="77777777" w:rsidR="000B1EE5" w:rsidRDefault="000B1EE5" w:rsidP="000B1EE5">
      <w:pPr>
        <w:ind w:left="450"/>
      </w:pPr>
      <w:r>
        <w:rPr>
          <w:b/>
          <w:bCs/>
        </w:rPr>
        <w:t>Retraining from scratch:</w:t>
      </w:r>
      <w:r>
        <w:t xml:space="preserve"> The simplest method is to retrain the affected models on datasets that exclude party A’s data. However, retraining incurs an enormous computational cost, depending on the type of AI model in consideration.</w:t>
      </w:r>
    </w:p>
    <w:p w14:paraId="6367759E" w14:textId="77777777" w:rsidR="000B1EE5" w:rsidRDefault="000B1EE5" w:rsidP="000B1EE5">
      <w:pPr>
        <w:ind w:left="450"/>
      </w:pPr>
      <w:r>
        <w:rPr>
          <w:b/>
          <w:bCs/>
        </w:rPr>
        <w:t xml:space="preserve">Machine unlearning: </w:t>
      </w:r>
      <w:r>
        <w:t>This method offers a compute-efficient alternative to retraining. The idea is to surgically undo any impacts of the removed data from the affected models. Machine unlearning is an attempt of achieving a similar effect to retraining. There exist metrics for quantifying how effective unlearning is.</w:t>
      </w:r>
    </w:p>
    <w:p w14:paraId="4F7BCC25" w14:textId="77777777" w:rsidR="00480EE4" w:rsidRDefault="00480EE4" w:rsidP="0009108F">
      <w:pPr>
        <w:pStyle w:val="CRCoverPage"/>
        <w:rPr>
          <w:b/>
          <w:noProof/>
          <w:lang w:val="en-US"/>
        </w:rPr>
      </w:pPr>
    </w:p>
    <w:p w14:paraId="0CFFDFFB" w14:textId="2556C015" w:rsidR="00480EE4" w:rsidRDefault="00480EE4" w:rsidP="0009108F">
      <w:pPr>
        <w:pStyle w:val="CRCoverPage"/>
        <w:rPr>
          <w:b/>
          <w:noProof/>
          <w:lang w:val="en-US"/>
        </w:rPr>
      </w:pPr>
      <w:r>
        <w:rPr>
          <w:b/>
          <w:noProof/>
          <w:lang w:val="en-US"/>
        </w:rPr>
        <w:t>2.3 How to perform Machine Unlearning?</w:t>
      </w:r>
    </w:p>
    <w:p w14:paraId="08DD7B2C" w14:textId="77777777" w:rsidR="000B1EE5" w:rsidRDefault="000B1EE5" w:rsidP="000B1EE5">
      <w:r>
        <w:t>The method for performing MU depends on the type of AI model under consideration. For instance, models such as nearest neighbour models, mixture models, SVMs, decision trees/forests, and deep neural networks each have their own approaches for efficiently executing MU. The following two examples illustrate how MU can be applied to a nearest neighbour model (Example 1) and a mixture model (Example 2). These examples highlight a key insight: MU is feasible. Although the MU appears straightforward for these two models, more complex models demand more advanced unlearning techniques.</w:t>
      </w:r>
    </w:p>
    <w:p w14:paraId="33CAEA20" w14:textId="77777777" w:rsidR="000B1EE5" w:rsidRDefault="000B1EE5" w:rsidP="000B1EE5">
      <w:pPr>
        <w:rPr>
          <w:b/>
          <w:bCs/>
        </w:rPr>
      </w:pPr>
      <w:r>
        <w:rPr>
          <w:b/>
          <w:bCs/>
        </w:rPr>
        <w:t>Example 1: Clustering with a nearest neighbour method.</w:t>
      </w:r>
    </w:p>
    <w:p w14:paraId="0A84AEBC" w14:textId="77777777" w:rsidR="000B1EE5" w:rsidRDefault="000B1EE5" w:rsidP="000B1EE5">
      <w:pPr>
        <w:rPr>
          <w:b/>
          <w:bCs/>
        </w:rPr>
      </w:pPr>
      <w:r>
        <w:rPr>
          <w:noProof/>
        </w:rPr>
        <mc:AlternateContent>
          <mc:Choice Requires="wps">
            <w:drawing>
              <wp:anchor distT="0" distB="0" distL="114300" distR="114300" simplePos="0" relativeHeight="251659264" behindDoc="0" locked="0" layoutInCell="1" allowOverlap="1" wp14:anchorId="577D3763" wp14:editId="79C2C6F9">
                <wp:simplePos x="0" y="0"/>
                <wp:positionH relativeFrom="margin">
                  <wp:posOffset>1683465</wp:posOffset>
                </wp:positionH>
                <wp:positionV relativeFrom="paragraph">
                  <wp:posOffset>2369791</wp:posOffset>
                </wp:positionV>
                <wp:extent cx="2754828" cy="278559"/>
                <wp:effectExtent l="0" t="0" r="0" b="7620"/>
                <wp:wrapNone/>
                <wp:docPr id="11" name="Text Box 4"/>
                <wp:cNvGraphicFramePr/>
                <a:graphic xmlns:a="http://schemas.openxmlformats.org/drawingml/2006/main">
                  <a:graphicData uri="http://schemas.microsoft.com/office/word/2010/wordprocessingShape">
                    <wps:wsp>
                      <wps:cNvSpPr txBox="1"/>
                      <wps:spPr>
                        <a:xfrm>
                          <a:off x="0" y="0"/>
                          <a:ext cx="2754828" cy="278559"/>
                        </a:xfrm>
                        <a:prstGeom prst="rect">
                          <a:avLst/>
                        </a:prstGeom>
                        <a:noFill/>
                        <a:ln w="6350">
                          <a:noFill/>
                        </a:ln>
                      </wps:spPr>
                      <wps:txbx>
                        <w:txbxContent>
                          <w:p w14:paraId="6A2AC43C" w14:textId="77777777" w:rsidR="000B1EE5" w:rsidRDefault="000B1EE5" w:rsidP="000B1EE5">
                            <w:pPr>
                              <w:jc w:val="center"/>
                            </w:pPr>
                            <w:r>
                              <w:t>Figure 1: Clustering with nearest neighbours.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7D3763" id="_x0000_t202" coordsize="21600,21600" o:spt="202" path="m,l,21600r21600,l21600,xe">
                <v:stroke joinstyle="miter"/>
                <v:path gradientshapeok="t" o:connecttype="rect"/>
              </v:shapetype>
              <v:shape id="Text Box 4" o:spid="_x0000_s1026" type="#_x0000_t202" style="position:absolute;margin-left:132.55pt;margin-top:186.6pt;width:216.9pt;height:2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" filled="f" stroked="f" strokeweight=".5pt">
                <v:textbox>
                  <w:txbxContent>
                    <w:p w14:paraId="6A2AC43C" w14:textId="77777777" w:rsidR="000B1EE5" w:rsidRDefault="000B1EE5" w:rsidP="000B1EE5">
                      <w:pPr>
                        <w:jc w:val="center"/>
                      </w:pPr>
                      <w:r>
                        <w:t>Figure 1: Clustering with nearest neighbours.</w:t>
                      </w:r>
                    </w:p>
                  </w:txbxContent>
                </v:textbox>
                <w10:wrap anchorx="margin"/>
              </v:shape>
            </w:pict>
          </mc:Fallback>
        </mc:AlternateContent>
      </w:r>
      <w:r w:rsidRPr="00112F14">
        <w:rPr>
          <w:b/>
          <w:bCs/>
          <w:noProof/>
        </w:rPr>
        <w:drawing>
          <wp:inline distT="0" distB="0" distL="0" distR="0" wp14:anchorId="405841E2" wp14:editId="14E445A8">
            <wp:extent cx="5943600" cy="225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256790"/>
                    </a:xfrm>
                    <a:prstGeom prst="rect">
                      <a:avLst/>
                    </a:prstGeom>
                  </pic:spPr>
                </pic:pic>
              </a:graphicData>
            </a:graphic>
          </wp:inline>
        </w:drawing>
      </w:r>
    </w:p>
    <w:p w14:paraId="1F30255C" w14:textId="77777777" w:rsidR="000B1EE5" w:rsidRDefault="000B1EE5" w:rsidP="000B1EE5"/>
    <w:p w14:paraId="151603B4" w14:textId="77777777" w:rsidR="000B1EE5" w:rsidRDefault="000B1EE5" w:rsidP="000B1EE5">
      <w:r>
        <w:rPr>
          <w:noProof/>
        </w:rPr>
        <w:lastRenderedPageBreak/>
        <mc:AlternateContent>
          <mc:Choice Requires="wps">
            <w:drawing>
              <wp:anchor distT="0" distB="0" distL="114300" distR="114300" simplePos="0" relativeHeight="251660288" behindDoc="0" locked="0" layoutInCell="1" allowOverlap="1" wp14:anchorId="14510D9C" wp14:editId="0483C968">
                <wp:simplePos x="0" y="0"/>
                <wp:positionH relativeFrom="column">
                  <wp:posOffset>1549610</wp:posOffset>
                </wp:positionH>
                <wp:positionV relativeFrom="paragraph">
                  <wp:posOffset>2300622</wp:posOffset>
                </wp:positionV>
                <wp:extent cx="3184411" cy="247650"/>
                <wp:effectExtent l="0" t="0" r="0" b="0"/>
                <wp:wrapNone/>
                <wp:docPr id="13" name="Text Box 5"/>
                <wp:cNvGraphicFramePr/>
                <a:graphic xmlns:a="http://schemas.openxmlformats.org/drawingml/2006/main">
                  <a:graphicData uri="http://schemas.microsoft.com/office/word/2010/wordprocessingShape">
                    <wps:wsp>
                      <wps:cNvSpPr txBox="1"/>
                      <wps:spPr>
                        <a:xfrm>
                          <a:off x="0" y="0"/>
                          <a:ext cx="3184411" cy="247650"/>
                        </a:xfrm>
                        <a:prstGeom prst="rect">
                          <a:avLst/>
                        </a:prstGeom>
                        <a:noFill/>
                        <a:ln w="6350">
                          <a:noFill/>
                        </a:ln>
                      </wps:spPr>
                      <wps:txbx>
                        <w:txbxContent>
                          <w:p w14:paraId="5B03F55A" w14:textId="77777777" w:rsidR="000B1EE5" w:rsidRDefault="000B1EE5" w:rsidP="000B1EE5">
                            <w:pPr>
                              <w:jc w:val="center"/>
                            </w:pPr>
                            <w:r>
                              <w:t>Figure 2: Density estimation with mixture models.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510D9C" id="Text Box 5" o:spid="_x0000_s1027" type="#_x0000_t202" style="position:absolute;margin-left:122pt;margin-top:181.15pt;width:250.75pt;height:1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" filled="f" stroked="f" strokeweight=".5pt">
                <v:textbox>
                  <w:txbxContent>
                    <w:p w14:paraId="5B03F55A" w14:textId="77777777" w:rsidR="000B1EE5" w:rsidRDefault="000B1EE5" w:rsidP="000B1EE5">
                      <w:pPr>
                        <w:jc w:val="center"/>
                      </w:pPr>
                      <w:r>
                        <w:t>Figure 2: Density estimation with mixture models.</w:t>
                      </w:r>
                    </w:p>
                  </w:txbxContent>
                </v:textbox>
              </v:shape>
            </w:pict>
          </mc:Fallback>
        </mc:AlternateContent>
      </w:r>
      <w:r w:rsidRPr="00112F14">
        <w:rPr>
          <w:noProof/>
        </w:rPr>
        <w:drawing>
          <wp:inline distT="0" distB="0" distL="0" distR="0" wp14:anchorId="4ED242F1" wp14:editId="735EFF2C">
            <wp:extent cx="5943600" cy="22688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268855"/>
                    </a:xfrm>
                    <a:prstGeom prst="rect">
                      <a:avLst/>
                    </a:prstGeom>
                  </pic:spPr>
                </pic:pic>
              </a:graphicData>
            </a:graphic>
          </wp:inline>
        </w:drawing>
      </w:r>
    </w:p>
    <w:p w14:paraId="0898DC99" w14:textId="77777777" w:rsidR="000B1EE5" w:rsidRDefault="000B1EE5" w:rsidP="000B1EE5"/>
    <w:p w14:paraId="6B5382A4" w14:textId="77777777" w:rsidR="000B1EE5" w:rsidRDefault="000B1EE5" w:rsidP="000B1EE5">
      <w:r>
        <w:t>Consider a scenario where two parties A</w:t>
      </w:r>
      <w:r>
        <w:rPr>
          <w:vertAlign w:val="subscript"/>
        </w:rPr>
        <w:t>1</w:t>
      </w:r>
      <w:r>
        <w:t xml:space="preserve"> and A</w:t>
      </w:r>
      <w:r>
        <w:rPr>
          <w:vertAlign w:val="subscript"/>
        </w:rPr>
        <w:t>2</w:t>
      </w:r>
      <w:r>
        <w:t xml:space="preserve"> provide data for training a nearest neighbour clustering model. As Figure 1(A) shows, both parties initially provide data. As shown in step 1, the model training amounts to running a clustering algorithm (e.g., k-nearest neighbours), and associating each data point with a particular cluster. Figure 1(B) shows the learned clusters based on the data from both parties. If the need arises to unlearn the effects of A</w:t>
      </w:r>
      <w:r>
        <w:rPr>
          <w:vertAlign w:val="subscript"/>
        </w:rPr>
        <w:t>1</w:t>
      </w:r>
      <w:r>
        <w:t>’s data, as shown in step 2, the model simply removes the data points provided by A</w:t>
      </w:r>
      <w:r>
        <w:rPr>
          <w:vertAlign w:val="subscript"/>
        </w:rPr>
        <w:t>1</w:t>
      </w:r>
      <w:r>
        <w:t xml:space="preserve"> and finetunes the clusters to better fit the remaining data. As seen in Figure 1(C), the resulting clusters are slightly different from the ones in 1(B). The unlearning procedure is more compute-efficient than retraining from scratch, since unlearning only involves making minor adjustments on an already learned cluster.</w:t>
      </w:r>
    </w:p>
    <w:p w14:paraId="7DC7BC18" w14:textId="77777777" w:rsidR="000B1EE5" w:rsidRDefault="000B1EE5" w:rsidP="000B1EE5">
      <w:r>
        <w:t>Example 1 may appear overly simplistic, as unlearning is relatively straightforward when the original data points remain linked to the learned clusters. Example 2 expands upon Example 1, and presents a more compelling scenario.</w:t>
      </w:r>
    </w:p>
    <w:p w14:paraId="7287E1EC" w14:textId="77777777" w:rsidR="000B1EE5" w:rsidRDefault="000B1EE5" w:rsidP="000B1EE5">
      <w:pPr>
        <w:rPr>
          <w:b/>
          <w:bCs/>
        </w:rPr>
      </w:pPr>
      <w:r>
        <w:rPr>
          <w:b/>
          <w:bCs/>
        </w:rPr>
        <w:t>Example 2: Density estimation with a mixture model.</w:t>
      </w:r>
    </w:p>
    <w:p w14:paraId="61F308A7" w14:textId="77777777" w:rsidR="000B1EE5" w:rsidRDefault="000B1EE5" w:rsidP="000B1EE5">
      <w:r>
        <w:t>Consider the scenario in Example 1, with the added caveat that model training involves approximating the probability density function (PDF) of the given data using a density estimation model such as a Gaussian Mixture Model (GMM). As Figure 2(A) shows, both parties initially provide data. As shown in step 1, the model training consists of fitting a PDF over the given data by learning the parameters of the PDF (e.g., means and covariance matrices of components in the mixture model). Figure 1(B) shows the learned approximation based on the data from both parties. In comparison to Example 1, the learned model does not directly correspond to any specific data points in the dataset.</w:t>
      </w:r>
    </w:p>
    <w:p w14:paraId="439FDA7D" w14:textId="77777777" w:rsidR="000B1EE5" w:rsidRDefault="000B1EE5" w:rsidP="000B1EE5">
      <w:r>
        <w:t>In step 2, the unlearning procedure for A1’s data begins by using the PDF in Figure 1(B) as a starting point and fine-tuning its parameters to fit only the remaining data. As shown in Figure 1(C), the resulting PDF reflects only the remaining data. Importantly, reaching the PDF in Figure 1(C) is more straightforward when starting from the PDF in Figure 1(B) than from a randomly initialized PDF. Therefore, the unlearning process is more computationally efficient than retraining from scratch.</w:t>
      </w:r>
    </w:p>
    <w:p w14:paraId="668DD5DC" w14:textId="77777777" w:rsidR="000B1EE5" w:rsidRDefault="000B1EE5" w:rsidP="000B1EE5">
      <w:pPr>
        <w:rPr>
          <w:b/>
          <w:bCs/>
        </w:rPr>
      </w:pPr>
      <w:r>
        <w:rPr>
          <w:b/>
          <w:bCs/>
        </w:rPr>
        <w:t>Machine unlearning for other types of models</w:t>
      </w:r>
    </w:p>
    <w:p w14:paraId="6A523AB3" w14:textId="77777777" w:rsidR="000B1EE5" w:rsidRDefault="000B1EE5" w:rsidP="000B1EE5">
      <w:pPr>
        <w:rPr>
          <w:noProof/>
        </w:rPr>
      </w:pPr>
      <w:r>
        <w:rPr>
          <w:noProof/>
        </w:rPr>
        <w:t>Examples 1 and 2 demonstrate that model unlearning (MU) is feasible. Advanced models like DNNs require more sophisticated unlearning techniques due to their complexity and high-dimensional parameter space [3]. However, the fundamental principles of unlearningh remain consistent with those illustrated in the two examples. Techniques must carefully balance data removal with preservation of generalization performance.</w:t>
      </w:r>
    </w:p>
    <w:p w14:paraId="6FA2E6CD" w14:textId="77777777" w:rsidR="000B1EE5" w:rsidRDefault="000B1EE5" w:rsidP="000B1EE5">
      <w:r>
        <w:rPr>
          <w:noProof/>
        </w:rPr>
        <w:t>For example, some DNN unlearning methods involve identifying which parts of the neural network (e.g., layers, neurons, or gradient subspaces) are most affected by the data to be forgotten. Techniques like Projected-Gradient Unlearning (PGU) [4] adjust weights in directions orthogonal to the influence of the data being removed. Some other mathods such as “NoT” method proposed in [5] achieves unlearning by applying weight negation (e.g., flipping model parameters) to disrupt the learned representations.</w:t>
      </w:r>
    </w:p>
    <w:p w14:paraId="0C13BAA3" w14:textId="77777777" w:rsidR="00480EE4" w:rsidRPr="000B1EE5" w:rsidRDefault="00480EE4" w:rsidP="0009108F">
      <w:pPr>
        <w:pStyle w:val="CRCoverPage"/>
        <w:rPr>
          <w:b/>
          <w:noProof/>
        </w:rPr>
      </w:pPr>
    </w:p>
    <w:p w14:paraId="6EB4E968" w14:textId="77777777" w:rsidR="0009108F" w:rsidRPr="0009108F" w:rsidRDefault="0009108F" w:rsidP="0009108F">
      <w:pPr>
        <w:pStyle w:val="CRCoverPage"/>
        <w:rPr>
          <w:b/>
          <w:noProof/>
        </w:rPr>
      </w:pPr>
      <w:r w:rsidRPr="0009108F">
        <w:rPr>
          <w:b/>
          <w:noProof/>
        </w:rPr>
        <w:t>3. Conclusions</w:t>
      </w:r>
    </w:p>
    <w:p w14:paraId="2DFAF42C" w14:textId="77777777" w:rsidR="00480EE4" w:rsidRDefault="00480EE4" w:rsidP="00480EE4">
      <w:pPr>
        <w:rPr>
          <w:lang w:eastAsia="zh-CN"/>
        </w:rPr>
      </w:pPr>
      <w:r>
        <w:rPr>
          <w:lang w:eastAsia="zh-CN"/>
        </w:rPr>
        <w:t xml:space="preserve">This discussion paper advocates for a flexible data-sharing framework in which both data providers and data consumers can freely opt in or out at any time. The paper emphasizes the practical role of machine unlearning techniques to </w:t>
      </w:r>
      <w:r>
        <w:rPr>
          <w:lang w:eastAsia="zh-CN"/>
        </w:rPr>
        <w:lastRenderedPageBreak/>
        <w:t>support such a dynamic participation model. These methods enable the network to selectively remove the influence of specific data contributions from AI/ML models, thereby respecting the withdrawal of consent or changes in data-sharing agreements. By incorporating machine unlearning, networks can uphold data governance principles while maintaining model integrity and performance.</w:t>
      </w:r>
    </w:p>
    <w:p w14:paraId="2D6B330B" w14:textId="7608A736" w:rsidR="0009108F" w:rsidRPr="0009108F" w:rsidRDefault="00480EE4" w:rsidP="0009108F">
      <w:pPr>
        <w:rPr>
          <w:noProof/>
        </w:rPr>
      </w:pPr>
      <w:r>
        <w:rPr>
          <w:noProof/>
        </w:rPr>
        <w:t xml:space="preserve">Propose to include PRs on machine unlearning along with model training in SHE. </w:t>
      </w:r>
    </w:p>
    <w:p w14:paraId="0491F502" w14:textId="730350FE" w:rsidR="0009108F" w:rsidRPr="0009108F" w:rsidRDefault="0009108F" w:rsidP="0009108F">
      <w:pPr>
        <w:pStyle w:val="CRCoverPage"/>
        <w:rPr>
          <w:b/>
          <w:noProof/>
        </w:rPr>
      </w:pPr>
      <w:r w:rsidRPr="0009108F">
        <w:rPr>
          <w:b/>
          <w:noProof/>
        </w:rPr>
        <w:t xml:space="preserve">4. </w:t>
      </w:r>
      <w:r w:rsidR="000B1EE5">
        <w:rPr>
          <w:b/>
          <w:noProof/>
        </w:rPr>
        <w:t>References</w:t>
      </w:r>
    </w:p>
    <w:p w14:paraId="79C2FFA2" w14:textId="77777777" w:rsidR="000B1EE5" w:rsidRDefault="000B1EE5" w:rsidP="000B1EE5">
      <w:pPr>
        <w:keepLines/>
        <w:ind w:left="270" w:hanging="256"/>
      </w:pPr>
      <w:r>
        <w:t xml:space="preserve">[1] </w:t>
      </w:r>
      <w:r>
        <w:rPr>
          <w:i/>
          <w:iCs/>
        </w:rPr>
        <w:t>Art. 17 GDPR – Right to erasure (‘right to be forgotten’)</w:t>
      </w:r>
      <w:r>
        <w:t xml:space="preserve"> - General Data Protection Regulation (GDPR). (2017, June 12). General Data Protection Regulation (GDPR). </w:t>
      </w:r>
      <w:hyperlink r:id="rId11" w:history="1">
        <w:r>
          <w:rPr>
            <w:rStyle w:val="Hyperlink"/>
          </w:rPr>
          <w:t>https://gdpr-info.eu/art-17-gdpr/</w:t>
        </w:r>
      </w:hyperlink>
    </w:p>
    <w:p w14:paraId="48D5D0E1" w14:textId="77777777" w:rsidR="000B1EE5" w:rsidRDefault="000B1EE5" w:rsidP="000B1EE5">
      <w:pPr>
        <w:keepLines/>
        <w:ind w:left="270" w:hanging="256"/>
      </w:pPr>
      <w:r>
        <w:t>[2]</w:t>
      </w:r>
      <w:r>
        <w:tab/>
        <w:t xml:space="preserve">Office of the Privacy Commissioner of Canada. (2024, May 1). </w:t>
      </w:r>
      <w:r>
        <w:rPr>
          <w:i/>
          <w:iCs/>
        </w:rPr>
        <w:t xml:space="preserve">PIPEDA requirements in brief. </w:t>
      </w:r>
      <w:r>
        <w:t xml:space="preserve">https://www.priv.gc.ca/en/privacy-topics/privacy-laws-in-canada/the-personal-information-protection-and-electronic-documents-act-pipeda/pipeda_brief/ </w:t>
      </w:r>
    </w:p>
    <w:p w14:paraId="4DBB1849" w14:textId="77777777" w:rsidR="000B1EE5" w:rsidRDefault="000B1EE5" w:rsidP="000B1EE5">
      <w:pPr>
        <w:keepLines/>
        <w:ind w:left="270" w:hanging="256"/>
      </w:pPr>
      <w:r>
        <w:t>[3] L. Bourtoule et al., "Machine Unlearning," 2021 IEEE Symposium on Security and Privacy (SP), San Francisco, CA, USA, 2021, pp. 141-159, doi: 10.1109/SP40001.2021.00019.</w:t>
      </w:r>
    </w:p>
    <w:p w14:paraId="1D9F8C7A" w14:textId="77777777" w:rsidR="000B1EE5" w:rsidRDefault="000B1EE5" w:rsidP="000B1EE5">
      <w:pPr>
        <w:keepLines/>
        <w:ind w:left="270" w:hanging="256"/>
      </w:pPr>
      <w:r>
        <w:t>[4] Hoang, Tuan, et al. "Learn to unlearn for deep neural networks: Minimizing unlearning interference with gradient projection." Proceedings of the IEEE/CVF Winter Conference on Applications of Computer Vision. 2024.</w:t>
      </w:r>
    </w:p>
    <w:p w14:paraId="0CDCE3A3" w14:textId="77777777" w:rsidR="000B1EE5" w:rsidRDefault="000B1EE5" w:rsidP="000B1EE5">
      <w:pPr>
        <w:keepLines/>
        <w:ind w:left="270" w:hanging="256"/>
      </w:pPr>
      <w:r>
        <w:t>[5] Khalil, Yasser H., et al. "NoT: Federated Unlearning via Weight Negation." Proceedings of the Computer Vision and Pattern Recognition Conference. 2025.</w:t>
      </w:r>
    </w:p>
    <w:p w14:paraId="6E70F031" w14:textId="6DE4B364" w:rsidR="0009108F" w:rsidRPr="008A5E86" w:rsidRDefault="0009108F"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38DB5" w14:textId="77777777" w:rsidR="00D74D85" w:rsidRDefault="00D74D85">
      <w:r>
        <w:separator/>
      </w:r>
    </w:p>
  </w:endnote>
  <w:endnote w:type="continuationSeparator" w:id="0">
    <w:p w14:paraId="52F984B3" w14:textId="77777777" w:rsidR="00D74D85" w:rsidRDefault="00D7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4D00" w14:textId="77777777" w:rsidR="00D74D85" w:rsidRDefault="00D74D85">
      <w:r>
        <w:separator/>
      </w:r>
    </w:p>
  </w:footnote>
  <w:footnote w:type="continuationSeparator" w:id="0">
    <w:p w14:paraId="5112AACC" w14:textId="77777777" w:rsidR="00D74D85" w:rsidRDefault="00D74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B1EE5"/>
    <w:rsid w:val="000C47C3"/>
    <w:rsid w:val="000D58AB"/>
    <w:rsid w:val="00133525"/>
    <w:rsid w:val="001A4C42"/>
    <w:rsid w:val="001A7420"/>
    <w:rsid w:val="001B6637"/>
    <w:rsid w:val="001C21C3"/>
    <w:rsid w:val="001D02C2"/>
    <w:rsid w:val="001E743C"/>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03408"/>
    <w:rsid w:val="00423334"/>
    <w:rsid w:val="004345EC"/>
    <w:rsid w:val="004368E2"/>
    <w:rsid w:val="00437FD8"/>
    <w:rsid w:val="00465515"/>
    <w:rsid w:val="00480EE4"/>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4139"/>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D45F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887"/>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D7169"/>
    <w:rsid w:val="00D00E9C"/>
    <w:rsid w:val="00D44EEE"/>
    <w:rsid w:val="00D57972"/>
    <w:rsid w:val="00D675A9"/>
    <w:rsid w:val="00D738D6"/>
    <w:rsid w:val="00D74D85"/>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dpr-info.eu/art-17-gdpr/"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88BB7-0145-4465-88EB-BA986DCC0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6</cp:revision>
  <cp:lastPrinted>2019-02-25T14:05:00Z</cp:lastPrinted>
  <dcterms:created xsi:type="dcterms:W3CDTF">2025-11-03T18:44:00Z</dcterms:created>
  <dcterms:modified xsi:type="dcterms:W3CDTF">2025-11-06T20:29:00Z</dcterms:modified>
</cp:coreProperties>
</file>